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D92948"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D92948"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D92948"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D92948" w:rsidRDefault="00DA723C" w:rsidP="007B1D24">
            <w:pPr>
              <w:tabs>
                <w:tab w:val="center" w:pos="5233"/>
                <w:tab w:val="left" w:pos="7930"/>
              </w:tabs>
              <w:jc w:val="center"/>
              <w:rPr>
                <w:rFonts w:asciiTheme="majorBidi" w:hAnsiTheme="majorBidi" w:cstheme="majorBidi"/>
                <w:b/>
                <w:bCs/>
                <w:color w:val="FFFFFF"/>
                <w:sz w:val="32"/>
                <w:szCs w:val="32"/>
                <w:rtl/>
              </w:rPr>
            </w:pPr>
          </w:p>
          <w:p w:rsidR="00AB5DF9" w:rsidRPr="00D92948" w:rsidRDefault="00AB5DF9" w:rsidP="007B1D24">
            <w:pPr>
              <w:tabs>
                <w:tab w:val="center" w:pos="5233"/>
                <w:tab w:val="left" w:pos="7930"/>
              </w:tabs>
              <w:jc w:val="center"/>
              <w:rPr>
                <w:rFonts w:asciiTheme="majorBidi" w:hAnsiTheme="majorBidi" w:cstheme="majorBidi"/>
                <w:b/>
                <w:bCs/>
                <w:color w:val="FFFFFF"/>
                <w:sz w:val="32"/>
                <w:szCs w:val="32"/>
                <w:rtl/>
              </w:rPr>
            </w:pPr>
            <w:r w:rsidRPr="00D92948">
              <w:rPr>
                <w:rFonts w:asciiTheme="majorBidi" w:hAnsiTheme="majorBidi" w:cstheme="majorBidi"/>
                <w:b/>
                <w:bCs/>
                <w:color w:val="FFFFFF"/>
                <w:sz w:val="32"/>
                <w:szCs w:val="32"/>
                <w:rtl/>
              </w:rPr>
              <w:t>النشــــرة الحقـــــوقيـــة</w:t>
            </w:r>
          </w:p>
          <w:p w:rsidR="00533014" w:rsidRPr="00D92948" w:rsidRDefault="00533014" w:rsidP="007B1D24">
            <w:pPr>
              <w:tabs>
                <w:tab w:val="center" w:pos="5233"/>
                <w:tab w:val="left" w:pos="7930"/>
              </w:tabs>
              <w:jc w:val="center"/>
              <w:rPr>
                <w:rFonts w:asciiTheme="majorBidi" w:hAnsiTheme="majorBidi" w:cstheme="majorBidi"/>
                <w:b/>
                <w:bCs/>
                <w:color w:val="FFFFFF"/>
                <w:sz w:val="32"/>
                <w:szCs w:val="32"/>
                <w:rtl/>
              </w:rPr>
            </w:pPr>
          </w:p>
          <w:p w:rsidR="00B13652" w:rsidRPr="00D92948" w:rsidRDefault="008A2051" w:rsidP="003469B7">
            <w:pPr>
              <w:tabs>
                <w:tab w:val="center" w:pos="5233"/>
                <w:tab w:val="left" w:pos="7930"/>
              </w:tabs>
              <w:jc w:val="center"/>
              <w:rPr>
                <w:rFonts w:asciiTheme="majorBidi" w:hAnsiTheme="majorBidi" w:cstheme="majorBidi"/>
                <w:b/>
                <w:bCs/>
                <w:color w:val="FFFFFF"/>
                <w:sz w:val="32"/>
                <w:szCs w:val="32"/>
                <w:rtl/>
                <w:lang w:bidi="ar-LB"/>
              </w:rPr>
            </w:pPr>
            <w:r w:rsidRPr="00D92948">
              <w:rPr>
                <w:rFonts w:asciiTheme="majorBidi" w:hAnsiTheme="majorBidi" w:cstheme="majorBidi"/>
                <w:b/>
                <w:bCs/>
                <w:color w:val="FFFFFF"/>
                <w:sz w:val="32"/>
                <w:szCs w:val="32"/>
                <w:rtl/>
              </w:rPr>
              <w:t>العـــد</w:t>
            </w:r>
            <w:r w:rsidR="003469B7">
              <w:rPr>
                <w:rFonts w:asciiTheme="majorBidi" w:hAnsiTheme="majorBidi" w:cstheme="majorBidi" w:hint="cs"/>
                <w:b/>
                <w:bCs/>
                <w:color w:val="FFFFFF"/>
                <w:sz w:val="32"/>
                <w:szCs w:val="32"/>
                <w:rtl/>
              </w:rPr>
              <w:t>د</w:t>
            </w:r>
            <w:r w:rsidRPr="00D92948">
              <w:rPr>
                <w:rFonts w:asciiTheme="majorBidi" w:hAnsiTheme="majorBidi" w:cstheme="majorBidi"/>
                <w:b/>
                <w:bCs/>
                <w:color w:val="FFFFFF"/>
                <w:sz w:val="32"/>
                <w:szCs w:val="32"/>
                <w:rtl/>
              </w:rPr>
              <w:t>(</w:t>
            </w:r>
            <w:r w:rsidR="003469B7">
              <w:rPr>
                <w:rFonts w:asciiTheme="majorBidi" w:hAnsiTheme="majorBidi" w:cstheme="majorBidi" w:hint="cs"/>
                <w:b/>
                <w:bCs/>
                <w:color w:val="FFFFFF"/>
                <w:sz w:val="32"/>
                <w:szCs w:val="32"/>
                <w:rtl/>
              </w:rPr>
              <w:t>203</w:t>
            </w:r>
            <w:r w:rsidR="002A7439" w:rsidRPr="00D92948">
              <w:rPr>
                <w:rFonts w:asciiTheme="majorBidi" w:hAnsiTheme="majorBidi" w:cstheme="majorBidi"/>
                <w:b/>
                <w:bCs/>
                <w:color w:val="FFFFFF"/>
                <w:sz w:val="32"/>
                <w:szCs w:val="32"/>
                <w:rtl/>
              </w:rPr>
              <w:t>)-</w:t>
            </w:r>
            <w:r w:rsidR="003469B7">
              <w:rPr>
                <w:rFonts w:asciiTheme="majorBidi" w:hAnsiTheme="majorBidi" w:cstheme="majorBidi" w:hint="cs"/>
                <w:b/>
                <w:bCs/>
                <w:color w:val="FFFFFF"/>
                <w:sz w:val="32"/>
                <w:szCs w:val="32"/>
                <w:rtl/>
              </w:rPr>
              <w:t>22</w:t>
            </w:r>
            <w:r w:rsidR="002A7439" w:rsidRPr="00D92948">
              <w:rPr>
                <w:rFonts w:asciiTheme="majorBidi" w:hAnsiTheme="majorBidi" w:cstheme="majorBidi"/>
                <w:b/>
                <w:bCs/>
                <w:color w:val="FFFFFF"/>
                <w:sz w:val="32"/>
                <w:szCs w:val="32"/>
                <w:rtl/>
              </w:rPr>
              <w:t>/</w:t>
            </w:r>
            <w:r w:rsidR="003469B7">
              <w:rPr>
                <w:rFonts w:asciiTheme="majorBidi" w:hAnsiTheme="majorBidi" w:cstheme="majorBidi" w:hint="cs"/>
                <w:b/>
                <w:bCs/>
                <w:color w:val="FFFFFF"/>
                <w:sz w:val="32"/>
                <w:szCs w:val="32"/>
                <w:rtl/>
              </w:rPr>
              <w:t>8</w:t>
            </w:r>
            <w:r w:rsidR="002A7439" w:rsidRPr="00D92948">
              <w:rPr>
                <w:rFonts w:asciiTheme="majorBidi" w:hAnsiTheme="majorBidi" w:cstheme="majorBidi"/>
                <w:b/>
                <w:bCs/>
                <w:color w:val="FFFFFF"/>
                <w:sz w:val="32"/>
                <w:szCs w:val="32"/>
                <w:rtl/>
              </w:rPr>
              <w:t>/201</w:t>
            </w:r>
            <w:r w:rsidR="003469B7">
              <w:rPr>
                <w:rFonts w:asciiTheme="majorBidi" w:hAnsiTheme="majorBidi" w:cstheme="majorBidi" w:hint="cs"/>
                <w:b/>
                <w:bCs/>
                <w:color w:val="FFFFFF"/>
                <w:sz w:val="32"/>
                <w:szCs w:val="32"/>
                <w:rtl/>
              </w:rPr>
              <w:t>6</w:t>
            </w:r>
          </w:p>
          <w:p w:rsidR="00533014" w:rsidRPr="00D92948"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9F5A75" w:rsidRPr="00D92948" w:rsidTr="007B1D24">
        <w:tc>
          <w:tcPr>
            <w:tcW w:w="10772" w:type="dxa"/>
            <w:shd w:val="clear" w:color="auto" w:fill="F3EDD9"/>
          </w:tcPr>
          <w:p w:rsidR="00D92948" w:rsidRDefault="00D92948" w:rsidP="00D92948">
            <w:pPr>
              <w:spacing w:line="360" w:lineRule="auto"/>
              <w:ind w:left="360"/>
              <w:jc w:val="both"/>
              <w:rPr>
                <w:rFonts w:asciiTheme="majorBidi" w:hAnsiTheme="majorBidi" w:cstheme="majorBidi"/>
                <w:b/>
                <w:bCs/>
                <w:sz w:val="32"/>
                <w:szCs w:val="32"/>
                <w:lang w:bidi="ar-LB"/>
              </w:rPr>
            </w:pPr>
          </w:p>
          <w:p w:rsidR="00D92948" w:rsidRPr="00D92948" w:rsidRDefault="00D92948" w:rsidP="00D92948">
            <w:pPr>
              <w:spacing w:line="360" w:lineRule="auto"/>
              <w:ind w:left="360"/>
              <w:jc w:val="both"/>
              <w:rPr>
                <w:rFonts w:asciiTheme="majorBidi" w:hAnsiTheme="majorBidi" w:cstheme="majorBidi"/>
                <w:b/>
                <w:bCs/>
                <w:color w:val="002060"/>
                <w:sz w:val="32"/>
                <w:szCs w:val="32"/>
                <w:lang w:bidi="ar-LB"/>
              </w:rPr>
            </w:pPr>
          </w:p>
          <w:p w:rsidR="00D92948" w:rsidRPr="00D92948" w:rsidRDefault="00D92948" w:rsidP="003469B7">
            <w:pPr>
              <w:pStyle w:val="ListParagraph"/>
              <w:numPr>
                <w:ilvl w:val="0"/>
                <w:numId w:val="32"/>
              </w:numPr>
              <w:bidi/>
              <w:spacing w:line="480" w:lineRule="auto"/>
              <w:jc w:val="both"/>
              <w:rPr>
                <w:rFonts w:asciiTheme="majorBidi" w:hAnsiTheme="majorBidi" w:cstheme="majorBidi"/>
                <w:b/>
                <w:bCs/>
                <w:color w:val="002060"/>
                <w:sz w:val="32"/>
                <w:szCs w:val="32"/>
                <w:rtl/>
                <w:lang w:bidi="ar-LB"/>
              </w:rPr>
            </w:pPr>
            <w:r w:rsidRPr="00D92948">
              <w:rPr>
                <w:rFonts w:asciiTheme="majorBidi" w:hAnsiTheme="majorBidi" w:cstheme="majorBidi"/>
                <w:b/>
                <w:bCs/>
                <w:color w:val="002060"/>
                <w:sz w:val="32"/>
                <w:szCs w:val="32"/>
                <w:rtl/>
                <w:lang w:bidi="ar-LB"/>
              </w:rPr>
              <w:t>لجنة: 28 حالة تمديد وتثبيت اعتقال إداري بحق الصحفيين</w:t>
            </w:r>
            <w:r>
              <w:rPr>
                <w:rFonts w:asciiTheme="majorBidi" w:hAnsiTheme="majorBidi" w:cstheme="majorBidi"/>
                <w:b/>
                <w:bCs/>
                <w:color w:val="002060"/>
                <w:sz w:val="32"/>
                <w:szCs w:val="32"/>
                <w:lang w:bidi="ar-LB"/>
              </w:rPr>
              <w:t>.</w:t>
            </w:r>
          </w:p>
          <w:p w:rsidR="00D92948" w:rsidRPr="00D92948" w:rsidRDefault="00D92948" w:rsidP="003469B7">
            <w:pPr>
              <w:pStyle w:val="ListParagraph"/>
              <w:numPr>
                <w:ilvl w:val="0"/>
                <w:numId w:val="32"/>
              </w:numPr>
              <w:bidi/>
              <w:spacing w:line="480" w:lineRule="auto"/>
              <w:jc w:val="both"/>
              <w:rPr>
                <w:rFonts w:asciiTheme="majorBidi" w:hAnsiTheme="majorBidi" w:cstheme="majorBidi"/>
                <w:b/>
                <w:bCs/>
                <w:color w:val="002060"/>
                <w:sz w:val="32"/>
                <w:szCs w:val="32"/>
              </w:rPr>
            </w:pPr>
            <w:r w:rsidRPr="00D92948">
              <w:rPr>
                <w:rFonts w:asciiTheme="majorBidi" w:hAnsiTheme="majorBidi" w:cstheme="majorBidi"/>
                <w:b/>
                <w:bCs/>
                <w:color w:val="002060"/>
                <w:sz w:val="32"/>
                <w:szCs w:val="32"/>
                <w:rtl/>
              </w:rPr>
              <w:t>مشروع قانون فلسطيني ضد الاستيطان في مجلس الأمن</w:t>
            </w:r>
            <w:r>
              <w:rPr>
                <w:rFonts w:asciiTheme="majorBidi" w:hAnsiTheme="majorBidi" w:cstheme="majorBidi"/>
                <w:b/>
                <w:bCs/>
                <w:color w:val="002060"/>
                <w:sz w:val="32"/>
                <w:szCs w:val="32"/>
              </w:rPr>
              <w:t>.</w:t>
            </w:r>
          </w:p>
          <w:p w:rsidR="00D92948" w:rsidRPr="00D92948" w:rsidRDefault="00D92948" w:rsidP="003469B7">
            <w:pPr>
              <w:pStyle w:val="ListParagraph"/>
              <w:numPr>
                <w:ilvl w:val="0"/>
                <w:numId w:val="32"/>
              </w:numPr>
              <w:bidi/>
              <w:spacing w:line="480" w:lineRule="auto"/>
              <w:jc w:val="both"/>
              <w:rPr>
                <w:rFonts w:asciiTheme="majorBidi" w:hAnsiTheme="majorBidi" w:cstheme="majorBidi"/>
                <w:b/>
                <w:bCs/>
                <w:color w:val="002060"/>
                <w:sz w:val="32"/>
                <w:szCs w:val="32"/>
                <w:rtl/>
                <w:lang w:bidi="ar-LB"/>
              </w:rPr>
            </w:pPr>
            <w:r w:rsidRPr="00D92948">
              <w:rPr>
                <w:rFonts w:asciiTheme="majorBidi" w:hAnsiTheme="majorBidi" w:cstheme="majorBidi"/>
                <w:b/>
                <w:bCs/>
                <w:color w:val="002060"/>
                <w:sz w:val="32"/>
                <w:szCs w:val="32"/>
                <w:rtl/>
                <w:lang w:bidi="ar-LB"/>
              </w:rPr>
              <w:t>الأمم المتحدة تبدي القلق بشأن تدهور صحة الاسير بلال كايد</w:t>
            </w:r>
            <w:r>
              <w:rPr>
                <w:rFonts w:asciiTheme="majorBidi" w:hAnsiTheme="majorBidi" w:cstheme="majorBidi"/>
                <w:b/>
                <w:bCs/>
                <w:color w:val="002060"/>
                <w:sz w:val="32"/>
                <w:szCs w:val="32"/>
                <w:lang w:bidi="ar-LB"/>
              </w:rPr>
              <w:t>.</w:t>
            </w:r>
          </w:p>
          <w:p w:rsidR="00D92948" w:rsidRPr="00D92948" w:rsidRDefault="00D92948" w:rsidP="003469B7">
            <w:pPr>
              <w:pStyle w:val="ListParagraph"/>
              <w:numPr>
                <w:ilvl w:val="0"/>
                <w:numId w:val="32"/>
              </w:numPr>
              <w:bidi/>
              <w:spacing w:line="480" w:lineRule="auto"/>
              <w:jc w:val="both"/>
              <w:rPr>
                <w:rFonts w:asciiTheme="majorBidi" w:hAnsiTheme="majorBidi" w:cstheme="majorBidi"/>
                <w:b/>
                <w:bCs/>
                <w:color w:val="002060"/>
                <w:sz w:val="32"/>
                <w:szCs w:val="32"/>
                <w:rtl/>
              </w:rPr>
            </w:pPr>
            <w:r w:rsidRPr="00D92948">
              <w:rPr>
                <w:rFonts w:asciiTheme="majorBidi" w:hAnsiTheme="majorBidi" w:cstheme="majorBidi"/>
                <w:b/>
                <w:bCs/>
                <w:color w:val="002060"/>
                <w:sz w:val="32"/>
                <w:szCs w:val="32"/>
                <w:rtl/>
              </w:rPr>
              <w:t xml:space="preserve">مركز شؤون القدس: 80 ألف اقتحموا الأقصى منذ عام 2009 </w:t>
            </w:r>
            <w:r>
              <w:rPr>
                <w:rFonts w:asciiTheme="majorBidi" w:hAnsiTheme="majorBidi" w:cstheme="majorBidi"/>
                <w:b/>
                <w:bCs/>
                <w:color w:val="002060"/>
                <w:sz w:val="32"/>
                <w:szCs w:val="32"/>
              </w:rPr>
              <w:t>.</w:t>
            </w:r>
          </w:p>
          <w:p w:rsidR="00D92948" w:rsidRPr="00D92948" w:rsidRDefault="003469B7" w:rsidP="003469B7">
            <w:pPr>
              <w:pStyle w:val="ListParagraph"/>
              <w:numPr>
                <w:ilvl w:val="0"/>
                <w:numId w:val="32"/>
              </w:numPr>
              <w:bidi/>
              <w:spacing w:line="480" w:lineRule="auto"/>
              <w:jc w:val="both"/>
              <w:rPr>
                <w:rFonts w:asciiTheme="majorBidi" w:hAnsiTheme="majorBidi" w:cstheme="majorBidi"/>
                <w:b/>
                <w:bCs/>
                <w:color w:val="002060"/>
                <w:sz w:val="32"/>
                <w:szCs w:val="32"/>
                <w:rtl/>
                <w:lang w:bidi="ar-LB"/>
              </w:rPr>
            </w:pPr>
            <w:r w:rsidRPr="003469B7">
              <w:rPr>
                <w:rFonts w:asciiTheme="majorBidi" w:hAnsiTheme="majorBidi" w:cstheme="majorBidi"/>
                <w:b/>
                <w:bCs/>
                <w:color w:val="002060"/>
                <w:sz w:val="32"/>
                <w:szCs w:val="32"/>
                <w:rtl/>
                <w:lang w:bidi="ar-LB"/>
              </w:rPr>
              <w:t>خبير</w:t>
            </w:r>
            <w:r w:rsidRPr="00D92948">
              <w:rPr>
                <w:rFonts w:asciiTheme="majorBidi" w:hAnsiTheme="majorBidi" w:cstheme="majorBidi"/>
                <w:b/>
                <w:bCs/>
                <w:color w:val="002060"/>
                <w:sz w:val="32"/>
                <w:szCs w:val="32"/>
                <w:rtl/>
                <w:lang w:bidi="ar-LB"/>
              </w:rPr>
              <w:t xml:space="preserve"> </w:t>
            </w:r>
            <w:r w:rsidR="00D92948" w:rsidRPr="00D92948">
              <w:rPr>
                <w:rFonts w:asciiTheme="majorBidi" w:hAnsiTheme="majorBidi" w:cstheme="majorBidi"/>
                <w:b/>
                <w:bCs/>
                <w:color w:val="002060"/>
                <w:sz w:val="32"/>
                <w:szCs w:val="32"/>
                <w:rtl/>
                <w:lang w:bidi="ar-LB"/>
              </w:rPr>
              <w:t>قانوني: إدانة إسرائيل بملف الاستيطان أمام "الجنائية" أمر متاح</w:t>
            </w:r>
            <w:r w:rsidR="00D92948">
              <w:rPr>
                <w:rFonts w:asciiTheme="majorBidi" w:hAnsiTheme="majorBidi" w:cstheme="majorBidi"/>
                <w:b/>
                <w:bCs/>
                <w:color w:val="002060"/>
                <w:sz w:val="32"/>
                <w:szCs w:val="32"/>
                <w:lang w:bidi="ar-LB"/>
              </w:rPr>
              <w:t>.</w:t>
            </w:r>
          </w:p>
          <w:p w:rsidR="00D92948" w:rsidRPr="00D92948" w:rsidRDefault="00D92948" w:rsidP="003469B7">
            <w:pPr>
              <w:pStyle w:val="ListParagraph"/>
              <w:numPr>
                <w:ilvl w:val="0"/>
                <w:numId w:val="32"/>
              </w:numPr>
              <w:bidi/>
              <w:spacing w:line="480" w:lineRule="auto"/>
              <w:jc w:val="both"/>
              <w:rPr>
                <w:rFonts w:asciiTheme="majorBidi" w:hAnsiTheme="majorBidi" w:cstheme="majorBidi"/>
                <w:b/>
                <w:bCs/>
                <w:color w:val="002060"/>
                <w:sz w:val="32"/>
                <w:szCs w:val="32"/>
                <w:rtl/>
              </w:rPr>
            </w:pPr>
            <w:r w:rsidRPr="00D92948">
              <w:rPr>
                <w:rFonts w:asciiTheme="majorBidi" w:hAnsiTheme="majorBidi" w:cstheme="majorBidi"/>
                <w:b/>
                <w:bCs/>
                <w:color w:val="002060"/>
                <w:sz w:val="32"/>
                <w:szCs w:val="32"/>
                <w:rtl/>
              </w:rPr>
              <w:t>الأسرى: 8 أسرى يعيشون ظروفا سيئة وصعبة للغاية في عزل مجدو</w:t>
            </w:r>
            <w:r>
              <w:rPr>
                <w:rFonts w:asciiTheme="majorBidi" w:hAnsiTheme="majorBidi" w:cstheme="majorBidi"/>
                <w:b/>
                <w:bCs/>
                <w:color w:val="002060"/>
                <w:sz w:val="32"/>
                <w:szCs w:val="32"/>
              </w:rPr>
              <w:t>.</w:t>
            </w:r>
          </w:p>
          <w:p w:rsidR="00D92948" w:rsidRPr="00D92948" w:rsidRDefault="00D92948" w:rsidP="003469B7">
            <w:pPr>
              <w:pStyle w:val="ListParagraph"/>
              <w:numPr>
                <w:ilvl w:val="0"/>
                <w:numId w:val="32"/>
              </w:numPr>
              <w:bidi/>
              <w:spacing w:line="480" w:lineRule="auto"/>
              <w:jc w:val="both"/>
              <w:rPr>
                <w:rFonts w:asciiTheme="majorBidi" w:hAnsiTheme="majorBidi" w:cstheme="majorBidi"/>
                <w:b/>
                <w:bCs/>
                <w:color w:val="002060"/>
                <w:sz w:val="32"/>
                <w:szCs w:val="32"/>
                <w:rtl/>
              </w:rPr>
            </w:pPr>
            <w:r w:rsidRPr="00D92948">
              <w:rPr>
                <w:rFonts w:asciiTheme="majorBidi" w:hAnsiTheme="majorBidi" w:cstheme="majorBidi"/>
                <w:b/>
                <w:bCs/>
                <w:color w:val="002060"/>
                <w:sz w:val="32"/>
                <w:szCs w:val="32"/>
                <w:rtl/>
              </w:rPr>
              <w:t>مشروع قرار عربي لزيادة موارد صندوقي الأقصى والقدس</w:t>
            </w:r>
            <w:r>
              <w:rPr>
                <w:rFonts w:asciiTheme="majorBidi" w:hAnsiTheme="majorBidi" w:cstheme="majorBidi"/>
                <w:b/>
                <w:bCs/>
                <w:color w:val="002060"/>
                <w:sz w:val="32"/>
                <w:szCs w:val="32"/>
              </w:rPr>
              <w:t>.</w:t>
            </w:r>
          </w:p>
          <w:p w:rsidR="00CB37DE" w:rsidRPr="00D92948" w:rsidRDefault="00CB37DE" w:rsidP="00D92948">
            <w:pPr>
              <w:pStyle w:val="ListParagraph"/>
              <w:bidi/>
              <w:jc w:val="both"/>
              <w:rPr>
                <w:rFonts w:asciiTheme="majorBidi" w:hAnsiTheme="majorBidi" w:cstheme="majorBidi"/>
                <w:b/>
                <w:bCs/>
                <w:sz w:val="32"/>
                <w:szCs w:val="32"/>
                <w:rtl/>
              </w:rPr>
            </w:pPr>
          </w:p>
        </w:tc>
      </w:tr>
      <w:tr w:rsidR="00920DBB" w:rsidRPr="00D92948" w:rsidTr="007B1D24">
        <w:trPr>
          <w:trHeight w:val="376"/>
        </w:trPr>
        <w:tc>
          <w:tcPr>
            <w:tcW w:w="10772" w:type="dxa"/>
            <w:shd w:val="clear" w:color="auto" w:fill="F3EDD9"/>
          </w:tcPr>
          <w:p w:rsidR="00D92948" w:rsidRPr="00D92948" w:rsidRDefault="00D92948" w:rsidP="003469B7">
            <w:pPr>
              <w:spacing w:line="360" w:lineRule="auto"/>
              <w:jc w:val="both"/>
              <w:rPr>
                <w:rFonts w:asciiTheme="majorBidi" w:hAnsiTheme="majorBidi" w:cstheme="majorBidi"/>
                <w:b/>
                <w:bCs/>
                <w:color w:val="002060"/>
                <w:sz w:val="32"/>
                <w:szCs w:val="32"/>
                <w:rtl/>
                <w:lang w:bidi="ar-LB"/>
              </w:rPr>
            </w:pPr>
            <w:r w:rsidRPr="00D92948">
              <w:rPr>
                <w:rFonts w:asciiTheme="majorBidi" w:hAnsiTheme="majorBidi" w:cstheme="majorBidi"/>
                <w:b/>
                <w:bCs/>
                <w:color w:val="002060"/>
                <w:sz w:val="32"/>
                <w:szCs w:val="32"/>
                <w:rtl/>
                <w:lang w:bidi="ar-LB"/>
              </w:rPr>
              <w:t>لجنة: 28 حالة تمديد وتثبيت اعتقال إداري بحق الصحفيين</w:t>
            </w:r>
          </w:p>
          <w:p w:rsidR="00D92948" w:rsidRPr="00D92948" w:rsidRDefault="00D92948" w:rsidP="003469B7">
            <w:pPr>
              <w:spacing w:line="360" w:lineRule="auto"/>
              <w:jc w:val="both"/>
              <w:rPr>
                <w:rFonts w:asciiTheme="majorBidi" w:hAnsiTheme="majorBidi" w:cstheme="majorBidi"/>
                <w:b/>
                <w:bCs/>
                <w:sz w:val="28"/>
                <w:szCs w:val="28"/>
                <w:lang w:bidi="ar-LB"/>
              </w:rPr>
            </w:pPr>
          </w:p>
          <w:p w:rsidR="00920DBB" w:rsidRPr="00D92948" w:rsidRDefault="00D92948" w:rsidP="003469B7">
            <w:pPr>
              <w:spacing w:line="360" w:lineRule="auto"/>
              <w:jc w:val="both"/>
              <w:rPr>
                <w:rFonts w:asciiTheme="majorBidi" w:hAnsiTheme="majorBidi" w:cstheme="majorBidi"/>
                <w:sz w:val="32"/>
                <w:szCs w:val="32"/>
                <w:rtl/>
              </w:rPr>
            </w:pPr>
            <w:r w:rsidRPr="00D92948">
              <w:rPr>
                <w:rFonts w:asciiTheme="majorBidi" w:hAnsiTheme="majorBidi" w:cstheme="majorBidi"/>
                <w:sz w:val="28"/>
                <w:szCs w:val="28"/>
                <w:rtl/>
                <w:lang w:bidi="ar-LB"/>
              </w:rPr>
              <w:t>رصدت اللجنة (28) حالة تمديد اعتقال للصحفيين منذ بداية العام الجاري، وإصدار أحكام بحق آخرين، وتأجيل محاكمة بعض منهم لا يزالون في سجون الاحتلال، مبينة أن سلطات الاحتلال تتعمد فرض سياسة تجديد الاعتقال الإداري بحق الصحفيين، مع قرب انتهاء المدة الزمنية للإفراج عنهم.</w:t>
            </w:r>
            <w:r w:rsidRPr="00D92948">
              <w:rPr>
                <w:rFonts w:asciiTheme="majorBidi" w:hAnsiTheme="majorBidi" w:cstheme="majorBidi"/>
                <w:sz w:val="28"/>
                <w:szCs w:val="28"/>
                <w:rtl/>
                <w:lang w:bidi="ar-LB"/>
              </w:rPr>
              <w:t xml:space="preserve"> </w:t>
            </w:r>
            <w:r w:rsidRPr="00D92948">
              <w:rPr>
                <w:rFonts w:asciiTheme="majorBidi" w:hAnsiTheme="majorBidi" w:cstheme="majorBidi"/>
                <w:sz w:val="28"/>
                <w:szCs w:val="28"/>
                <w:rtl/>
                <w:lang w:bidi="ar-LB"/>
              </w:rPr>
              <w:t>ودعت اللجنة مجلس الأمن الدولي إلى تنفيذ القرار (2222) الخاص بتوفير الحماية للصحفيين، ومحاسبة "إسرائيل" على انتهاكاتها ضدهم، مشيرًا إلى أن الاحتلال يعتقل في سجونه 22 صحفيًا بينهم صحفية.</w:t>
            </w:r>
            <w:r w:rsidRPr="00D92948">
              <w:rPr>
                <w:rFonts w:asciiTheme="majorBidi" w:hAnsiTheme="majorBidi" w:cstheme="majorBidi"/>
                <w:sz w:val="28"/>
                <w:szCs w:val="28"/>
                <w:rtl/>
                <w:lang w:bidi="ar-LB"/>
              </w:rPr>
              <w:t xml:space="preserve"> </w:t>
            </w:r>
            <w:r w:rsidRPr="00D92948">
              <w:rPr>
                <w:rFonts w:asciiTheme="majorBidi" w:hAnsiTheme="majorBidi" w:cstheme="majorBidi"/>
                <w:sz w:val="28"/>
                <w:szCs w:val="28"/>
                <w:rtl/>
                <w:lang w:bidi="ar-LB"/>
              </w:rPr>
              <w:t>طالبت الاتحاد الدولي والمؤسسات الحقوقية الدولية والعربية، والتي التي تعني بحقوق الصحفيين بضرورة التحرك للضغط على الاحتلال للإفراج عن الأسرى الصحفيين، ومن بينهم المرضى، لاسيما وأن كافة المواثيق والأعراف الدولية سمحت لهم بحرية التنقل والتغطية، ونقل الأخبار بحرية دون أي قيود أو شرط.</w:t>
            </w:r>
            <w:r w:rsidRPr="00D92948">
              <w:rPr>
                <w:rFonts w:asciiTheme="majorBidi" w:hAnsiTheme="majorBidi" w:cstheme="majorBidi"/>
                <w:sz w:val="28"/>
                <w:szCs w:val="28"/>
                <w:rtl/>
                <w:lang w:bidi="ar-LB"/>
              </w:rPr>
              <w:t xml:space="preserve"> (</w:t>
            </w:r>
            <w:r w:rsidRPr="00D92948">
              <w:rPr>
                <w:rFonts w:asciiTheme="majorBidi" w:hAnsiTheme="majorBidi" w:cstheme="majorBidi"/>
                <w:sz w:val="28"/>
                <w:szCs w:val="28"/>
                <w:rtl/>
                <w:lang w:bidi="ar-LB"/>
              </w:rPr>
              <w:t>صفا</w:t>
            </w:r>
            <w:r w:rsidRPr="00D92948">
              <w:rPr>
                <w:rFonts w:asciiTheme="majorBidi" w:hAnsiTheme="majorBidi" w:cstheme="majorBidi"/>
                <w:sz w:val="28"/>
                <w:szCs w:val="28"/>
                <w:rtl/>
                <w:lang w:bidi="ar-LB"/>
              </w:rPr>
              <w:t>، 22/8/2016).</w:t>
            </w:r>
          </w:p>
        </w:tc>
      </w:tr>
      <w:tr w:rsidR="00D92948" w:rsidRPr="00D92948" w:rsidTr="007B1D24">
        <w:trPr>
          <w:trHeight w:val="376"/>
        </w:trPr>
        <w:tc>
          <w:tcPr>
            <w:tcW w:w="10772" w:type="dxa"/>
            <w:shd w:val="clear" w:color="auto" w:fill="F3EDD9"/>
          </w:tcPr>
          <w:p w:rsidR="00D92948" w:rsidRDefault="00D92948" w:rsidP="00D92948">
            <w:pPr>
              <w:spacing w:line="360" w:lineRule="auto"/>
              <w:rPr>
                <w:rFonts w:asciiTheme="majorBidi" w:hAnsiTheme="majorBidi" w:cstheme="majorBidi" w:hint="cs"/>
                <w:b/>
                <w:bCs/>
                <w:color w:val="002060"/>
                <w:sz w:val="32"/>
                <w:szCs w:val="32"/>
                <w:rtl/>
              </w:rPr>
            </w:pPr>
            <w:r w:rsidRPr="00D92948">
              <w:rPr>
                <w:rFonts w:asciiTheme="majorBidi" w:hAnsiTheme="majorBidi" w:cstheme="majorBidi"/>
                <w:b/>
                <w:bCs/>
                <w:color w:val="002060"/>
                <w:sz w:val="32"/>
                <w:szCs w:val="32"/>
                <w:rtl/>
              </w:rPr>
              <w:lastRenderedPageBreak/>
              <w:t>مشروع قانون فلسطيني ضد الاستيطان في مجلس الأمن</w:t>
            </w:r>
          </w:p>
          <w:p w:rsidR="00D92948" w:rsidRPr="00D92948" w:rsidRDefault="00D92948" w:rsidP="003469B7">
            <w:pPr>
              <w:spacing w:line="360" w:lineRule="auto"/>
              <w:jc w:val="both"/>
              <w:rPr>
                <w:rFonts w:asciiTheme="majorBidi" w:hAnsiTheme="majorBidi" w:cstheme="majorBidi"/>
                <w:b/>
                <w:bCs/>
                <w:sz w:val="32"/>
                <w:szCs w:val="32"/>
                <w:rtl/>
                <w:lang w:bidi="ar-LB"/>
              </w:rPr>
            </w:pPr>
            <w:r w:rsidRPr="00D92948">
              <w:rPr>
                <w:rFonts w:asciiTheme="majorBidi" w:hAnsiTheme="majorBidi" w:cstheme="majorBidi"/>
                <w:sz w:val="28"/>
                <w:szCs w:val="28"/>
                <w:rtl/>
              </w:rPr>
              <w:t>قال عضو اللجنة التنفيذية لمنظمة التحرير الفلسطينية، جميل شحادة، إن الفلسطينين تمكنوا بدعم عربي من تأمين الأصوات التسعة اللازمة لطرح مشروع قانون أمام مجلس الأمن الدولي مناهض الاستيطان "الإسرائيلي".</w:t>
            </w:r>
            <w:r w:rsidRPr="00D92948">
              <w:rPr>
                <w:rFonts w:asciiTheme="majorBidi" w:hAnsiTheme="majorBidi" w:cstheme="majorBidi"/>
                <w:sz w:val="28"/>
                <w:szCs w:val="28"/>
                <w:rtl/>
              </w:rPr>
              <w:t xml:space="preserve"> </w:t>
            </w:r>
            <w:r w:rsidRPr="00D92948">
              <w:rPr>
                <w:rFonts w:asciiTheme="majorBidi" w:hAnsiTheme="majorBidi" w:cstheme="majorBidi"/>
                <w:sz w:val="28"/>
                <w:szCs w:val="28"/>
                <w:rtl/>
              </w:rPr>
              <w:t>وأشار شحادة أن اللجنة الرباعية العربية المكونة من مصر، والسعودية، والأردن، والجامعة العربية أجرت مؤخراً اتصالات مع جميع الدول الأعضاء في مجلس الأمن، بالتعاون مع البعثة الدبلوماسية الفسلطينية، وأمّنت تسعة أصوات كفيلة بقبول طرح مشرورع يدين الاستيطان.</w:t>
            </w:r>
            <w:r w:rsidRPr="00D92948">
              <w:rPr>
                <w:rFonts w:asciiTheme="majorBidi" w:hAnsiTheme="majorBidi" w:cstheme="majorBidi"/>
                <w:sz w:val="28"/>
                <w:szCs w:val="28"/>
                <w:rtl/>
              </w:rPr>
              <w:t xml:space="preserve">( </w:t>
            </w:r>
            <w:r w:rsidRPr="00D92948">
              <w:rPr>
                <w:rFonts w:asciiTheme="majorBidi" w:hAnsiTheme="majorBidi" w:cstheme="majorBidi"/>
                <w:sz w:val="28"/>
                <w:szCs w:val="28"/>
                <w:rtl/>
              </w:rPr>
              <w:t>وكالات</w:t>
            </w:r>
            <w:r w:rsidRPr="00D92948">
              <w:rPr>
                <w:rFonts w:asciiTheme="majorBidi" w:hAnsiTheme="majorBidi" w:cstheme="majorBidi"/>
                <w:sz w:val="28"/>
                <w:szCs w:val="28"/>
                <w:rtl/>
              </w:rPr>
              <w:t>، 22/8/2016).</w:t>
            </w:r>
          </w:p>
        </w:tc>
      </w:tr>
      <w:tr w:rsidR="00533014" w:rsidRPr="00D92948" w:rsidTr="007B1D24">
        <w:trPr>
          <w:trHeight w:val="376"/>
        </w:trPr>
        <w:tc>
          <w:tcPr>
            <w:tcW w:w="10772" w:type="dxa"/>
            <w:shd w:val="clear" w:color="auto" w:fill="F3EDD9"/>
          </w:tcPr>
          <w:p w:rsidR="00D92948" w:rsidRPr="00B7432F" w:rsidRDefault="00D92948" w:rsidP="00D92948">
            <w:pPr>
              <w:jc w:val="both"/>
              <w:rPr>
                <w:rFonts w:asciiTheme="majorBidi" w:hAnsiTheme="majorBidi" w:cstheme="majorBidi"/>
                <w:b/>
                <w:bCs/>
                <w:color w:val="002060"/>
                <w:sz w:val="32"/>
                <w:szCs w:val="32"/>
                <w:rtl/>
                <w:lang w:bidi="ar-LB"/>
              </w:rPr>
            </w:pPr>
            <w:r w:rsidRPr="00B7432F">
              <w:rPr>
                <w:rFonts w:asciiTheme="majorBidi" w:hAnsiTheme="majorBidi" w:cstheme="majorBidi"/>
                <w:b/>
                <w:bCs/>
                <w:color w:val="002060"/>
                <w:sz w:val="32"/>
                <w:szCs w:val="32"/>
                <w:rtl/>
                <w:lang w:bidi="ar-LB"/>
              </w:rPr>
              <w:t xml:space="preserve">الأمم المتحدة تبدي القلق بشأن تدهور صحة </w:t>
            </w:r>
            <w:r w:rsidR="00B7432F" w:rsidRPr="00B7432F">
              <w:rPr>
                <w:rFonts w:asciiTheme="majorBidi" w:hAnsiTheme="majorBidi" w:cstheme="majorBidi"/>
                <w:b/>
                <w:bCs/>
                <w:color w:val="002060"/>
                <w:sz w:val="32"/>
                <w:szCs w:val="32"/>
                <w:rtl/>
                <w:lang w:bidi="ar-LB"/>
              </w:rPr>
              <w:t>ال</w:t>
            </w:r>
            <w:r w:rsidR="00B7432F" w:rsidRPr="00B7432F">
              <w:rPr>
                <w:rFonts w:asciiTheme="majorBidi" w:hAnsiTheme="majorBidi" w:cstheme="majorBidi" w:hint="cs"/>
                <w:b/>
                <w:bCs/>
                <w:color w:val="002060"/>
                <w:sz w:val="32"/>
                <w:szCs w:val="32"/>
                <w:rtl/>
                <w:lang w:bidi="ar-LB"/>
              </w:rPr>
              <w:t>أ</w:t>
            </w:r>
            <w:r w:rsidRPr="00B7432F">
              <w:rPr>
                <w:rFonts w:asciiTheme="majorBidi" w:hAnsiTheme="majorBidi" w:cstheme="majorBidi"/>
                <w:b/>
                <w:bCs/>
                <w:color w:val="002060"/>
                <w:sz w:val="32"/>
                <w:szCs w:val="32"/>
                <w:rtl/>
                <w:lang w:bidi="ar-LB"/>
              </w:rPr>
              <w:t>سير بلال كايد</w:t>
            </w:r>
          </w:p>
          <w:p w:rsidR="00D92948" w:rsidRPr="00D92948" w:rsidRDefault="00D92948" w:rsidP="00D92948">
            <w:pPr>
              <w:jc w:val="both"/>
              <w:rPr>
                <w:rFonts w:asciiTheme="majorBidi" w:hAnsiTheme="majorBidi" w:cstheme="majorBidi"/>
                <w:b/>
                <w:bCs/>
                <w:sz w:val="32"/>
                <w:szCs w:val="32"/>
                <w:lang w:bidi="ar-LB"/>
              </w:rPr>
            </w:pPr>
          </w:p>
          <w:p w:rsidR="00D92948" w:rsidRPr="00D92948" w:rsidRDefault="00D92948" w:rsidP="00B7432F">
            <w:pPr>
              <w:spacing w:line="360" w:lineRule="auto"/>
              <w:jc w:val="both"/>
              <w:rPr>
                <w:rFonts w:asciiTheme="majorBidi" w:hAnsiTheme="majorBidi" w:cstheme="majorBidi"/>
                <w:sz w:val="28"/>
                <w:szCs w:val="28"/>
                <w:rtl/>
                <w:lang w:bidi="ar-LB"/>
              </w:rPr>
            </w:pPr>
            <w:r w:rsidRPr="00D92948">
              <w:rPr>
                <w:rFonts w:asciiTheme="majorBidi" w:hAnsiTheme="majorBidi" w:cstheme="majorBidi"/>
                <w:sz w:val="28"/>
                <w:szCs w:val="28"/>
                <w:rtl/>
                <w:lang w:bidi="ar-LB"/>
              </w:rPr>
              <w:t>أعرب روبرت بايبر منسق الأمم المتحدة للمساعدة الإنسانية والتنموية في الأرض الفلسطينية المحتلة عن القلق البالغ بشأن تدهور صحة الاسير الفلسطيني بلال كايد بعد أكثر من سبعة وستين يوما من الإضراب عن الطعام احتجاجا على اعتقاله بدون اتهام أو محاكمة.</w:t>
            </w:r>
            <w:r w:rsidRPr="00D92948">
              <w:rPr>
                <w:rFonts w:asciiTheme="majorBidi" w:hAnsiTheme="majorBidi" w:cstheme="majorBidi"/>
                <w:sz w:val="28"/>
                <w:szCs w:val="28"/>
                <w:rtl/>
                <w:lang w:bidi="ar-LB"/>
              </w:rPr>
              <w:t xml:space="preserve"> </w:t>
            </w:r>
            <w:r w:rsidRPr="00D92948">
              <w:rPr>
                <w:rFonts w:asciiTheme="majorBidi" w:hAnsiTheme="majorBidi" w:cstheme="majorBidi"/>
                <w:sz w:val="28"/>
                <w:szCs w:val="28"/>
                <w:rtl/>
                <w:lang w:bidi="ar-LB"/>
              </w:rPr>
              <w:t>وتعتقل سلطات الاحتلال الاسرائيلي الاسير كايد تحت ما يعرف بالاعتقال الإداري في اليوم المقرر للإفراج عنه بعد إكمال عقوبة بالسجن لمدة أربع عشرة سنة ونصف.</w:t>
            </w:r>
            <w:r w:rsidRPr="00D92948">
              <w:rPr>
                <w:rFonts w:asciiTheme="majorBidi" w:hAnsiTheme="majorBidi" w:cstheme="majorBidi"/>
                <w:sz w:val="28"/>
                <w:szCs w:val="28"/>
                <w:rtl/>
                <w:lang w:bidi="ar-LB"/>
              </w:rPr>
              <w:t xml:space="preserve">( </w:t>
            </w:r>
            <w:r w:rsidRPr="00D92948">
              <w:rPr>
                <w:rFonts w:asciiTheme="majorBidi" w:hAnsiTheme="majorBidi" w:cstheme="majorBidi"/>
                <w:sz w:val="28"/>
                <w:szCs w:val="28"/>
                <w:rtl/>
                <w:lang w:bidi="ar-LB"/>
              </w:rPr>
              <w:t>وكالة قدس نت للأنباء</w:t>
            </w:r>
            <w:r w:rsidRPr="00D92948">
              <w:rPr>
                <w:rFonts w:asciiTheme="majorBidi" w:hAnsiTheme="majorBidi" w:cstheme="majorBidi"/>
                <w:sz w:val="28"/>
                <w:szCs w:val="28"/>
                <w:rtl/>
                <w:lang w:bidi="ar-LB"/>
              </w:rPr>
              <w:t>، 21/8/2016).</w:t>
            </w:r>
          </w:p>
          <w:p w:rsidR="00533014" w:rsidRPr="00D92948" w:rsidRDefault="00533014" w:rsidP="008A2051">
            <w:pPr>
              <w:jc w:val="both"/>
              <w:rPr>
                <w:rFonts w:asciiTheme="majorBidi" w:hAnsiTheme="majorBidi" w:cstheme="majorBidi"/>
                <w:sz w:val="32"/>
                <w:szCs w:val="32"/>
                <w:rtl/>
                <w:lang w:bidi="ar-LB"/>
              </w:rPr>
            </w:pPr>
          </w:p>
        </w:tc>
      </w:tr>
      <w:tr w:rsidR="00DC68B6" w:rsidRPr="00D92948" w:rsidTr="007B1D24">
        <w:trPr>
          <w:trHeight w:val="376"/>
        </w:trPr>
        <w:tc>
          <w:tcPr>
            <w:tcW w:w="10772" w:type="dxa"/>
            <w:shd w:val="clear" w:color="auto" w:fill="F3EDD9"/>
          </w:tcPr>
          <w:p w:rsidR="00D92948" w:rsidRPr="00B7432F" w:rsidRDefault="00D92948" w:rsidP="00D92948">
            <w:pPr>
              <w:rPr>
                <w:rFonts w:asciiTheme="majorBidi" w:hAnsiTheme="majorBidi" w:cstheme="majorBidi"/>
                <w:b/>
                <w:bCs/>
                <w:color w:val="002060"/>
                <w:sz w:val="32"/>
                <w:szCs w:val="32"/>
                <w:rtl/>
              </w:rPr>
            </w:pPr>
            <w:r w:rsidRPr="00B7432F">
              <w:rPr>
                <w:rFonts w:asciiTheme="majorBidi" w:hAnsiTheme="majorBidi" w:cstheme="majorBidi"/>
                <w:b/>
                <w:bCs/>
                <w:color w:val="002060"/>
                <w:sz w:val="32"/>
                <w:szCs w:val="32"/>
                <w:rtl/>
              </w:rPr>
              <w:t xml:space="preserve">مركز شؤون القدس: 80 ألف اقتحموا الأقصى منذ عام 2009 </w:t>
            </w:r>
          </w:p>
          <w:p w:rsidR="00D92948" w:rsidRPr="00D92948" w:rsidRDefault="00D92948" w:rsidP="00D92948">
            <w:pPr>
              <w:rPr>
                <w:rFonts w:asciiTheme="majorBidi" w:hAnsiTheme="majorBidi" w:cstheme="majorBidi"/>
                <w:sz w:val="28"/>
                <w:szCs w:val="28"/>
                <w:rtl/>
              </w:rPr>
            </w:pPr>
          </w:p>
          <w:p w:rsidR="00DC68B6" w:rsidRPr="00D92948" w:rsidRDefault="00D92948" w:rsidP="003469B7">
            <w:pPr>
              <w:spacing w:line="360" w:lineRule="auto"/>
              <w:jc w:val="both"/>
              <w:rPr>
                <w:rFonts w:asciiTheme="majorBidi" w:hAnsiTheme="majorBidi" w:cstheme="majorBidi"/>
                <w:sz w:val="28"/>
                <w:szCs w:val="28"/>
                <w:rtl/>
              </w:rPr>
            </w:pPr>
            <w:r w:rsidRPr="00D92948">
              <w:rPr>
                <w:rFonts w:asciiTheme="majorBidi" w:hAnsiTheme="majorBidi" w:cstheme="majorBidi"/>
                <w:sz w:val="28"/>
                <w:szCs w:val="28"/>
                <w:rtl/>
              </w:rPr>
              <w:t>أصدر مركز شؤون القدس والمسجد الأقصى تقريرا</w:t>
            </w:r>
            <w:r w:rsidR="003469B7">
              <w:rPr>
                <w:rFonts w:asciiTheme="majorBidi" w:hAnsiTheme="majorBidi" w:cstheme="majorBidi" w:hint="cs"/>
                <w:sz w:val="28"/>
                <w:szCs w:val="28"/>
                <w:rtl/>
              </w:rPr>
              <w:t>ً</w:t>
            </w:r>
            <w:r w:rsidRPr="00D92948">
              <w:rPr>
                <w:rFonts w:asciiTheme="majorBidi" w:hAnsiTheme="majorBidi" w:cstheme="majorBidi"/>
                <w:sz w:val="28"/>
                <w:szCs w:val="28"/>
                <w:rtl/>
              </w:rPr>
              <w:t xml:space="preserve"> سلط الضوء فيه على أبرز المخاطر والجرائم التي ارتكبها الاحتلال الإسرائيلي منذ احتلال المسجد الأقصى في حزيران من العام 1967. وذكر التقرير أن نحو 80 ألف مستوطن وعنصر احتلال اقتحموا المسجد الأقصى منذ عام 2009.(موقع مركز الزيتونة، 22/8/2016).</w:t>
            </w:r>
          </w:p>
          <w:p w:rsidR="00DC68B6" w:rsidRPr="00D92948" w:rsidRDefault="00DC68B6" w:rsidP="00881D53">
            <w:pPr>
              <w:rPr>
                <w:rFonts w:asciiTheme="majorBidi" w:hAnsiTheme="majorBidi" w:cstheme="majorBidi"/>
                <w:b/>
                <w:bCs/>
                <w:rtl/>
              </w:rPr>
            </w:pPr>
          </w:p>
        </w:tc>
      </w:tr>
      <w:tr w:rsidR="00DC68B6" w:rsidRPr="00D92948" w:rsidTr="007B1D24">
        <w:trPr>
          <w:trHeight w:val="376"/>
        </w:trPr>
        <w:tc>
          <w:tcPr>
            <w:tcW w:w="10772" w:type="dxa"/>
            <w:shd w:val="clear" w:color="auto" w:fill="F3EDD9"/>
          </w:tcPr>
          <w:p w:rsidR="00D92948" w:rsidRPr="00B7432F" w:rsidRDefault="003469B7" w:rsidP="00D92948">
            <w:pPr>
              <w:jc w:val="both"/>
              <w:rPr>
                <w:rFonts w:asciiTheme="majorBidi" w:hAnsiTheme="majorBidi" w:cstheme="majorBidi"/>
                <w:b/>
                <w:bCs/>
                <w:color w:val="002060"/>
                <w:sz w:val="32"/>
                <w:szCs w:val="32"/>
                <w:rtl/>
                <w:lang w:bidi="ar-LB"/>
              </w:rPr>
            </w:pPr>
            <w:r w:rsidRPr="003469B7">
              <w:rPr>
                <w:rFonts w:asciiTheme="majorBidi" w:hAnsiTheme="majorBidi" w:cstheme="majorBidi"/>
                <w:b/>
                <w:bCs/>
                <w:color w:val="002060"/>
                <w:sz w:val="32"/>
                <w:szCs w:val="32"/>
                <w:rtl/>
                <w:lang w:bidi="ar-LB"/>
              </w:rPr>
              <w:t>خبير</w:t>
            </w:r>
            <w:r w:rsidRPr="00B7432F">
              <w:rPr>
                <w:rFonts w:asciiTheme="majorBidi" w:hAnsiTheme="majorBidi" w:cstheme="majorBidi"/>
                <w:b/>
                <w:bCs/>
                <w:color w:val="002060"/>
                <w:sz w:val="32"/>
                <w:szCs w:val="32"/>
                <w:rtl/>
                <w:lang w:bidi="ar-LB"/>
              </w:rPr>
              <w:t xml:space="preserve"> </w:t>
            </w:r>
            <w:r w:rsidR="00D92948" w:rsidRPr="00B7432F">
              <w:rPr>
                <w:rFonts w:asciiTheme="majorBidi" w:hAnsiTheme="majorBidi" w:cstheme="majorBidi"/>
                <w:b/>
                <w:bCs/>
                <w:color w:val="002060"/>
                <w:sz w:val="32"/>
                <w:szCs w:val="32"/>
                <w:rtl/>
                <w:lang w:bidi="ar-LB"/>
              </w:rPr>
              <w:t xml:space="preserve">قانوني: إدانة </w:t>
            </w:r>
            <w:r>
              <w:rPr>
                <w:rFonts w:asciiTheme="majorBidi" w:hAnsiTheme="majorBidi" w:cstheme="majorBidi" w:hint="cs"/>
                <w:b/>
                <w:bCs/>
                <w:color w:val="002060"/>
                <w:sz w:val="32"/>
                <w:szCs w:val="32"/>
                <w:rtl/>
                <w:lang w:bidi="ar-LB"/>
              </w:rPr>
              <w:t>"</w:t>
            </w:r>
            <w:r w:rsidR="00D92948" w:rsidRPr="00B7432F">
              <w:rPr>
                <w:rFonts w:asciiTheme="majorBidi" w:hAnsiTheme="majorBidi" w:cstheme="majorBidi"/>
                <w:b/>
                <w:bCs/>
                <w:color w:val="002060"/>
                <w:sz w:val="32"/>
                <w:szCs w:val="32"/>
                <w:rtl/>
                <w:lang w:bidi="ar-LB"/>
              </w:rPr>
              <w:t>إسرائيل</w:t>
            </w:r>
            <w:r>
              <w:rPr>
                <w:rFonts w:asciiTheme="majorBidi" w:hAnsiTheme="majorBidi" w:cstheme="majorBidi" w:hint="cs"/>
                <w:b/>
                <w:bCs/>
                <w:color w:val="002060"/>
                <w:sz w:val="32"/>
                <w:szCs w:val="32"/>
                <w:rtl/>
                <w:lang w:bidi="ar-LB"/>
              </w:rPr>
              <w:t>"</w:t>
            </w:r>
            <w:r w:rsidR="00D92948" w:rsidRPr="00B7432F">
              <w:rPr>
                <w:rFonts w:asciiTheme="majorBidi" w:hAnsiTheme="majorBidi" w:cstheme="majorBidi"/>
                <w:b/>
                <w:bCs/>
                <w:color w:val="002060"/>
                <w:sz w:val="32"/>
                <w:szCs w:val="32"/>
                <w:rtl/>
                <w:lang w:bidi="ar-LB"/>
              </w:rPr>
              <w:t xml:space="preserve"> بملف الاستيطان أمام "الجنائية" أمر متاح</w:t>
            </w:r>
          </w:p>
          <w:p w:rsidR="00D92948" w:rsidRPr="00D92948" w:rsidRDefault="00D92948" w:rsidP="00D92948">
            <w:pPr>
              <w:jc w:val="both"/>
              <w:rPr>
                <w:rFonts w:asciiTheme="majorBidi" w:hAnsiTheme="majorBidi" w:cstheme="majorBidi"/>
                <w:sz w:val="28"/>
                <w:szCs w:val="28"/>
                <w:lang w:bidi="ar-LB"/>
              </w:rPr>
            </w:pPr>
          </w:p>
          <w:p w:rsidR="00DC68B6" w:rsidRPr="00D92948" w:rsidRDefault="00D92948" w:rsidP="00B7432F">
            <w:pPr>
              <w:spacing w:line="360" w:lineRule="auto"/>
              <w:jc w:val="both"/>
              <w:rPr>
                <w:rFonts w:asciiTheme="majorBidi" w:hAnsiTheme="majorBidi" w:cstheme="majorBidi"/>
                <w:sz w:val="28"/>
                <w:szCs w:val="28"/>
                <w:rtl/>
              </w:rPr>
            </w:pPr>
            <w:r w:rsidRPr="00D92948">
              <w:rPr>
                <w:rFonts w:asciiTheme="majorBidi" w:hAnsiTheme="majorBidi" w:cstheme="majorBidi"/>
                <w:sz w:val="28"/>
                <w:szCs w:val="28"/>
                <w:rtl/>
                <w:lang w:bidi="ar-LB"/>
              </w:rPr>
              <w:t>أكد خبير فلسطيني مختص بالقانون الدولي إمكانية إدانة الاحتلال أمام المحكمة الجنائية الدولية فيما يتعلق بملف الاستيطان في الأراضي الفلسطينية.</w:t>
            </w:r>
            <w:r w:rsidRPr="00D92948">
              <w:rPr>
                <w:rFonts w:asciiTheme="majorBidi" w:hAnsiTheme="majorBidi" w:cstheme="majorBidi"/>
                <w:sz w:val="28"/>
                <w:szCs w:val="28"/>
                <w:rtl/>
                <w:lang w:bidi="ar-LB"/>
              </w:rPr>
              <w:t xml:space="preserve"> </w:t>
            </w:r>
            <w:r w:rsidRPr="00D92948">
              <w:rPr>
                <w:rFonts w:asciiTheme="majorBidi" w:hAnsiTheme="majorBidi" w:cstheme="majorBidi"/>
                <w:sz w:val="28"/>
                <w:szCs w:val="28"/>
                <w:rtl/>
                <w:lang w:bidi="ar-LB"/>
              </w:rPr>
              <w:t>وأوضح المحاضر القانوني في جامعة "القدس"، محمد الشلالدة، أن فلسطين وبعد قبولها كدولة غير عضو في الأمم المتحدة، أصبحت طرفا منضما إلى النظام الأساسي للمحكمة الجنائية الدولية، وترتب على ذلك تقدمها بإعلان لدى المحكمة حول ثلاث ملفات تتعلق بجرائم الحرب الإسرائيلية، هي الحرب الأخيرة على غزة عام 2014، والأسرى، بالإضافة إلى ملف الاستيطان.</w:t>
            </w:r>
            <w:r w:rsidRPr="00D92948">
              <w:rPr>
                <w:rFonts w:asciiTheme="majorBidi" w:hAnsiTheme="majorBidi" w:cstheme="majorBidi"/>
                <w:sz w:val="28"/>
                <w:szCs w:val="28"/>
                <w:rtl/>
                <w:lang w:bidi="ar-LB"/>
              </w:rPr>
              <w:t xml:space="preserve"> (قدس برس إنترناشيونال،8/2016).</w:t>
            </w:r>
            <w:r w:rsidR="00B7432F">
              <w:rPr>
                <w:rFonts w:asciiTheme="majorBidi" w:hAnsiTheme="majorBidi" w:cstheme="majorBidi" w:hint="cs"/>
                <w:sz w:val="28"/>
                <w:szCs w:val="28"/>
                <w:rtl/>
                <w:lang w:bidi="ar-LB"/>
              </w:rPr>
              <w:t xml:space="preserve"> </w:t>
            </w:r>
          </w:p>
          <w:p w:rsidR="00DC68B6" w:rsidRPr="00D92948" w:rsidRDefault="00DC68B6" w:rsidP="00DC68B6">
            <w:pPr>
              <w:rPr>
                <w:rFonts w:asciiTheme="majorBidi" w:hAnsiTheme="majorBidi" w:cstheme="majorBidi"/>
                <w:rtl/>
              </w:rPr>
            </w:pPr>
          </w:p>
        </w:tc>
      </w:tr>
      <w:tr w:rsidR="00D92948" w:rsidRPr="00D92948" w:rsidTr="007B1D24">
        <w:trPr>
          <w:trHeight w:val="376"/>
        </w:trPr>
        <w:tc>
          <w:tcPr>
            <w:tcW w:w="10772" w:type="dxa"/>
            <w:shd w:val="clear" w:color="auto" w:fill="F3EDD9"/>
          </w:tcPr>
          <w:p w:rsidR="00D92948" w:rsidRPr="00B7432F" w:rsidRDefault="00D92948" w:rsidP="00D92948">
            <w:pPr>
              <w:rPr>
                <w:rFonts w:asciiTheme="majorBidi" w:hAnsiTheme="majorBidi" w:cstheme="majorBidi"/>
                <w:b/>
                <w:bCs/>
                <w:color w:val="002060"/>
                <w:sz w:val="32"/>
                <w:szCs w:val="32"/>
                <w:rtl/>
              </w:rPr>
            </w:pPr>
            <w:r w:rsidRPr="00B7432F">
              <w:rPr>
                <w:rFonts w:asciiTheme="majorBidi" w:hAnsiTheme="majorBidi" w:cstheme="majorBidi"/>
                <w:b/>
                <w:bCs/>
                <w:color w:val="002060"/>
                <w:sz w:val="32"/>
                <w:szCs w:val="32"/>
                <w:rtl/>
              </w:rPr>
              <w:t>الأسرى: 8 أسرى يعيشون ظروفا سيئة وصعبة للغاية في عزل مجدو</w:t>
            </w:r>
          </w:p>
          <w:p w:rsidR="00D92948" w:rsidRPr="00D92948" w:rsidRDefault="00D92948" w:rsidP="00B7432F">
            <w:pPr>
              <w:jc w:val="both"/>
              <w:rPr>
                <w:rFonts w:asciiTheme="majorBidi" w:hAnsiTheme="majorBidi" w:cstheme="majorBidi"/>
                <w:b/>
                <w:bCs/>
                <w:sz w:val="32"/>
                <w:szCs w:val="32"/>
                <w:rtl/>
              </w:rPr>
            </w:pPr>
          </w:p>
          <w:p w:rsidR="00D92948" w:rsidRPr="00D92948" w:rsidRDefault="00D92948" w:rsidP="003469B7">
            <w:pPr>
              <w:spacing w:line="360" w:lineRule="auto"/>
              <w:jc w:val="both"/>
              <w:rPr>
                <w:rFonts w:asciiTheme="majorBidi" w:hAnsiTheme="majorBidi" w:cstheme="majorBidi"/>
                <w:sz w:val="32"/>
                <w:szCs w:val="32"/>
                <w:rtl/>
              </w:rPr>
            </w:pPr>
            <w:r w:rsidRPr="00D92948">
              <w:rPr>
                <w:rFonts w:asciiTheme="majorBidi" w:hAnsiTheme="majorBidi" w:cstheme="majorBidi"/>
                <w:sz w:val="28"/>
                <w:szCs w:val="28"/>
                <w:rtl/>
              </w:rPr>
              <w:t>قالت هيئة شؤون الأسرى والمحررين، إن ثمانية أسرى يقبعون في عزل  سجن "مجدو" حاليا، يعانون ظروفا سيئة وصعبة للغاية، مغيبون عن العالم الخارجي بشكل شبه تام، ولا يدركون ليلهم من نهارهم.  وأوضحت أن الأسرى الثمانية محرومون من زيارات الأهل منذ اشهر وبعضهم منذ سنوات، حيث يقبعون في زنازين ضيقة وعفنة، تفتقر للتهوية والإضاءة ودرجات الح</w:t>
            </w:r>
            <w:r w:rsidR="003469B7">
              <w:rPr>
                <w:rFonts w:asciiTheme="majorBidi" w:hAnsiTheme="majorBidi" w:cstheme="majorBidi"/>
                <w:sz w:val="28"/>
                <w:szCs w:val="28"/>
                <w:rtl/>
              </w:rPr>
              <w:t>رارة فيها لا تطاق، وخشنة الملمس</w:t>
            </w:r>
            <w:r w:rsidR="003469B7">
              <w:rPr>
                <w:rFonts w:asciiTheme="majorBidi" w:hAnsiTheme="majorBidi" w:cstheme="majorBidi" w:hint="cs"/>
                <w:sz w:val="28"/>
                <w:szCs w:val="28"/>
                <w:rtl/>
              </w:rPr>
              <w:t>.</w:t>
            </w:r>
            <w:r w:rsidRPr="00D92948">
              <w:rPr>
                <w:rFonts w:asciiTheme="majorBidi" w:hAnsiTheme="majorBidi" w:cstheme="majorBidi"/>
                <w:sz w:val="28"/>
                <w:szCs w:val="28"/>
                <w:rtl/>
              </w:rPr>
              <w:t xml:space="preserve"> (سما، 22/8/2016)</w:t>
            </w:r>
            <w:r w:rsidR="003469B7">
              <w:rPr>
                <w:rFonts w:asciiTheme="majorBidi" w:hAnsiTheme="majorBidi" w:cstheme="majorBidi" w:hint="cs"/>
                <w:sz w:val="28"/>
                <w:szCs w:val="28"/>
                <w:rtl/>
              </w:rPr>
              <w:t>.</w:t>
            </w:r>
          </w:p>
        </w:tc>
      </w:tr>
      <w:tr w:rsidR="00DA723C" w:rsidRPr="00D92948" w:rsidTr="007B1D24">
        <w:trPr>
          <w:trHeight w:val="376"/>
        </w:trPr>
        <w:tc>
          <w:tcPr>
            <w:tcW w:w="10772" w:type="dxa"/>
            <w:shd w:val="clear" w:color="auto" w:fill="F3EDD9"/>
          </w:tcPr>
          <w:p w:rsidR="00D92948" w:rsidRPr="00D92948" w:rsidRDefault="00D92948" w:rsidP="00D92948">
            <w:pPr>
              <w:jc w:val="both"/>
              <w:rPr>
                <w:rFonts w:asciiTheme="majorBidi" w:hAnsiTheme="majorBidi" w:cstheme="majorBidi"/>
                <w:b/>
                <w:bCs/>
                <w:sz w:val="32"/>
                <w:szCs w:val="32"/>
                <w:rtl/>
              </w:rPr>
            </w:pPr>
            <w:r w:rsidRPr="00D92948">
              <w:rPr>
                <w:rFonts w:asciiTheme="majorBidi" w:hAnsiTheme="majorBidi" w:cstheme="majorBidi"/>
                <w:b/>
                <w:bCs/>
                <w:sz w:val="32"/>
                <w:szCs w:val="32"/>
                <w:rtl/>
              </w:rPr>
              <w:lastRenderedPageBreak/>
              <w:t>مشروع قرار عربي لزيادة موارد صندوقي الأقصى والقدس</w:t>
            </w:r>
          </w:p>
          <w:p w:rsidR="00D92948" w:rsidRPr="00D92948" w:rsidRDefault="00D92948" w:rsidP="00D92948">
            <w:pPr>
              <w:jc w:val="both"/>
              <w:rPr>
                <w:rFonts w:asciiTheme="majorBidi" w:hAnsiTheme="majorBidi" w:cstheme="majorBidi"/>
                <w:b/>
                <w:bCs/>
                <w:sz w:val="32"/>
                <w:szCs w:val="32"/>
                <w:rtl/>
                <w:lang w:bidi="ar-LB"/>
              </w:rPr>
            </w:pPr>
          </w:p>
          <w:p w:rsidR="00D92948" w:rsidRPr="00D92948" w:rsidRDefault="00D92948" w:rsidP="00D92948">
            <w:pPr>
              <w:spacing w:line="360" w:lineRule="auto"/>
              <w:jc w:val="both"/>
              <w:rPr>
                <w:rFonts w:asciiTheme="majorBidi" w:hAnsiTheme="majorBidi" w:cstheme="majorBidi"/>
                <w:sz w:val="28"/>
                <w:szCs w:val="28"/>
                <w:rtl/>
              </w:rPr>
            </w:pPr>
            <w:r w:rsidRPr="00D92948">
              <w:rPr>
                <w:rFonts w:asciiTheme="majorBidi" w:hAnsiTheme="majorBidi" w:cstheme="majorBidi"/>
                <w:sz w:val="28"/>
                <w:szCs w:val="28"/>
                <w:rtl/>
              </w:rPr>
              <w:t>أعلن مهند العكلوك نائب المندوب الدائم لدولة فلسطين بالجامعة العربية، إن فلسطين ستتقدم بمشروع قرار للدورة القادمة لمجلس وزراء الخارجية العرب أوائل ايلول المقبل لزيادة موارد صندوقي الأقصى والقدس بالجامعة العربية بنحو 500 مليون دولار توضع في البنك الاسلامي للتنمية ومقره مدينة جدة، لتعزيز دعم المقدسيين ومواجهة الاحوال الصعبة بالقدس.</w:t>
            </w:r>
            <w:r w:rsidRPr="00D92948">
              <w:rPr>
                <w:rFonts w:asciiTheme="majorBidi" w:hAnsiTheme="majorBidi" w:cstheme="majorBidi"/>
                <w:sz w:val="28"/>
                <w:szCs w:val="28"/>
              </w:rPr>
              <w:t xml:space="preserve"> </w:t>
            </w:r>
            <w:r w:rsidRPr="00D92948">
              <w:rPr>
                <w:rFonts w:asciiTheme="majorBidi" w:hAnsiTheme="majorBidi" w:cstheme="majorBidi"/>
                <w:sz w:val="28"/>
                <w:szCs w:val="28"/>
                <w:rtl/>
              </w:rPr>
              <w:t>وقال العكلوك في حديث لمراسل صحيفة "القدس" وموقعها الإلكتروني، إن فلسطين تأمل في أن تستجيب الدول المانحة وفي مقدمتها السعودية ودول الخليج والجزائر للمطلب الفلسطيني لدعم صمود الفلسطينيين في القدس لمواجهة محاولات اسرائيل لتقسيم المسجد الأقصى زمانيا ومكانياً.</w:t>
            </w:r>
            <w:r w:rsidRPr="00D92948">
              <w:rPr>
                <w:rFonts w:asciiTheme="majorBidi" w:hAnsiTheme="majorBidi" w:cstheme="majorBidi"/>
                <w:sz w:val="28"/>
                <w:szCs w:val="28"/>
              </w:rPr>
              <w:t>)</w:t>
            </w:r>
            <w:r w:rsidRPr="00D92948">
              <w:rPr>
                <w:rFonts w:asciiTheme="majorBidi" w:hAnsiTheme="majorBidi" w:cstheme="majorBidi"/>
                <w:sz w:val="28"/>
                <w:szCs w:val="28"/>
                <w:rtl/>
              </w:rPr>
              <w:t xml:space="preserve"> </w:t>
            </w:r>
            <w:r w:rsidRPr="00D92948">
              <w:rPr>
                <w:rFonts w:asciiTheme="majorBidi" w:hAnsiTheme="majorBidi" w:cstheme="majorBidi"/>
                <w:sz w:val="28"/>
                <w:szCs w:val="28"/>
                <w:rtl/>
              </w:rPr>
              <w:t>القدس دوت كوم</w:t>
            </w:r>
            <w:r w:rsidRPr="00D92948">
              <w:rPr>
                <w:rFonts w:asciiTheme="majorBidi" w:hAnsiTheme="majorBidi" w:cstheme="majorBidi"/>
                <w:sz w:val="28"/>
                <w:szCs w:val="28"/>
                <w:rtl/>
                <w:lang w:bidi="ar-LB"/>
              </w:rPr>
              <w:t>، 21/8/2016)</w:t>
            </w:r>
            <w:r w:rsidRPr="00D92948">
              <w:rPr>
                <w:rFonts w:asciiTheme="majorBidi" w:hAnsiTheme="majorBidi" w:cstheme="majorBidi"/>
                <w:sz w:val="28"/>
                <w:szCs w:val="28"/>
                <w:rtl/>
              </w:rPr>
              <w:t>.</w:t>
            </w:r>
          </w:p>
          <w:p w:rsidR="00CE6F00" w:rsidRPr="00D92948" w:rsidRDefault="00CE6F00" w:rsidP="008A2051">
            <w:pPr>
              <w:jc w:val="both"/>
              <w:rPr>
                <w:rFonts w:asciiTheme="majorBidi" w:hAnsiTheme="majorBidi" w:cstheme="majorBidi"/>
                <w:sz w:val="32"/>
                <w:szCs w:val="32"/>
                <w:rtl/>
              </w:rPr>
            </w:pPr>
          </w:p>
        </w:tc>
      </w:tr>
      <w:tr w:rsidR="00B43440" w:rsidRPr="00D92948" w:rsidTr="007B1D24">
        <w:trPr>
          <w:trHeight w:val="376"/>
        </w:trPr>
        <w:tc>
          <w:tcPr>
            <w:tcW w:w="10772" w:type="dxa"/>
            <w:shd w:val="clear" w:color="auto" w:fill="auto"/>
          </w:tcPr>
          <w:p w:rsidR="005F3D82" w:rsidRPr="00D92948" w:rsidRDefault="008A2051" w:rsidP="008A2051">
            <w:pPr>
              <w:spacing w:line="276" w:lineRule="auto"/>
              <w:ind w:left="360" w:firstLine="360"/>
              <w:jc w:val="center"/>
              <w:rPr>
                <w:rFonts w:asciiTheme="majorBidi" w:hAnsiTheme="majorBidi" w:cstheme="majorBidi"/>
                <w:b/>
                <w:bCs/>
                <w:sz w:val="28"/>
                <w:szCs w:val="28"/>
                <w:rtl/>
                <w:lang w:bidi="ar-LB"/>
              </w:rPr>
            </w:pPr>
            <w:r w:rsidRPr="00D92948">
              <w:rPr>
                <w:rFonts w:asciiTheme="majorBidi" w:hAnsiTheme="majorBidi" w:cstheme="majorBidi"/>
                <w:b/>
                <w:bCs/>
                <w:sz w:val="28"/>
                <w:szCs w:val="28"/>
                <w:rtl/>
                <w:lang w:bidi="ar-LB"/>
              </w:rPr>
              <w:t>بيروت في</w:t>
            </w:r>
          </w:p>
          <w:p w:rsidR="008B4874" w:rsidRPr="00D92948" w:rsidRDefault="0092795E" w:rsidP="007B1D24">
            <w:pPr>
              <w:spacing w:line="276" w:lineRule="auto"/>
              <w:ind w:left="360" w:firstLine="360"/>
              <w:jc w:val="right"/>
              <w:rPr>
                <w:rFonts w:asciiTheme="majorBidi" w:hAnsiTheme="majorBidi" w:cstheme="majorBidi"/>
                <w:b/>
                <w:bCs/>
                <w:sz w:val="32"/>
                <w:szCs w:val="32"/>
                <w:rtl/>
                <w:lang w:bidi="ar-LB"/>
              </w:rPr>
            </w:pPr>
            <w:r w:rsidRPr="00D92948">
              <w:rPr>
                <w:rFonts w:asciiTheme="majorBidi" w:hAnsiTheme="majorBidi" w:cstheme="majorBidi"/>
                <w:b/>
                <w:bCs/>
                <w:sz w:val="32"/>
                <w:szCs w:val="32"/>
                <w:rtl/>
                <w:lang w:bidi="ar-LB"/>
              </w:rPr>
              <w:t>المؤسسة الفلسطينية لحقوق الإنسان "شاهد"</w:t>
            </w:r>
          </w:p>
        </w:tc>
      </w:tr>
    </w:tbl>
    <w:p w:rsidR="006E23F5" w:rsidRPr="00D92948" w:rsidRDefault="006E23F5" w:rsidP="004E07FB">
      <w:pPr>
        <w:rPr>
          <w:rFonts w:asciiTheme="majorBidi" w:hAnsiTheme="majorBidi" w:cstheme="majorBidi"/>
          <w:b/>
          <w:bCs/>
          <w:sz w:val="32"/>
          <w:szCs w:val="28"/>
          <w:rtl/>
          <w:lang w:bidi="ar-LB"/>
        </w:rPr>
      </w:pPr>
    </w:p>
    <w:p w:rsidR="009D14A6" w:rsidRPr="00D92948" w:rsidRDefault="009D14A6" w:rsidP="00CE6F00">
      <w:pPr>
        <w:tabs>
          <w:tab w:val="center" w:pos="5233"/>
          <w:tab w:val="left" w:pos="7930"/>
        </w:tabs>
        <w:rPr>
          <w:rFonts w:asciiTheme="majorBidi" w:hAnsiTheme="majorBidi" w:cstheme="majorBidi"/>
          <w:b/>
          <w:bCs/>
          <w:sz w:val="32"/>
          <w:szCs w:val="32"/>
          <w:rtl/>
          <w:lang w:bidi="ar-LB"/>
        </w:rPr>
      </w:pPr>
      <w:r w:rsidRPr="00D92948">
        <w:rPr>
          <w:rFonts w:asciiTheme="majorBidi" w:hAnsiTheme="majorBidi" w:cstheme="majorBidi"/>
          <w:b/>
          <w:bCs/>
          <w:sz w:val="32"/>
          <w:szCs w:val="32"/>
          <w:rtl/>
        </w:rPr>
        <w:tab/>
      </w:r>
    </w:p>
    <w:p w:rsidR="00DC68B6" w:rsidRPr="00D92948" w:rsidRDefault="00DC68B6">
      <w:pPr>
        <w:tabs>
          <w:tab w:val="center" w:pos="5233"/>
          <w:tab w:val="left" w:pos="7930"/>
        </w:tabs>
        <w:rPr>
          <w:rFonts w:asciiTheme="majorBidi" w:hAnsiTheme="majorBidi" w:cstheme="majorBidi"/>
          <w:b/>
          <w:bCs/>
          <w:sz w:val="32"/>
          <w:szCs w:val="32"/>
          <w:lang w:bidi="ar-LB"/>
        </w:rPr>
      </w:pPr>
    </w:p>
    <w:sectPr w:rsidR="00DC68B6" w:rsidRPr="00D92948"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5A" w:rsidRDefault="00442B5A">
      <w:r>
        <w:separator/>
      </w:r>
    </w:p>
  </w:endnote>
  <w:endnote w:type="continuationSeparator" w:id="1">
    <w:p w:rsidR="00442B5A" w:rsidRDefault="00442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3469B7">
        <w:rPr>
          <w:noProof/>
          <w:rtl/>
        </w:rPr>
        <w:t>1</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5A" w:rsidRDefault="00442B5A">
      <w:r>
        <w:separator/>
      </w:r>
    </w:p>
  </w:footnote>
  <w:footnote w:type="continuationSeparator" w:id="1">
    <w:p w:rsidR="00442B5A" w:rsidRDefault="00442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4E21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4E2144" w:rsidRPr="004E2144">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4E2144" w:rsidRPr="004E2144">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4E21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4D7525"/>
    <w:multiLevelType w:val="hybridMultilevel"/>
    <w:tmpl w:val="A848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0">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10"/>
  </w:num>
  <w:num w:numId="4">
    <w:abstractNumId w:val="5"/>
  </w:num>
  <w:num w:numId="5">
    <w:abstractNumId w:val="19"/>
  </w:num>
  <w:num w:numId="6">
    <w:abstractNumId w:val="29"/>
  </w:num>
  <w:num w:numId="7">
    <w:abstractNumId w:val="18"/>
  </w:num>
  <w:num w:numId="8">
    <w:abstractNumId w:val="20"/>
  </w:num>
  <w:num w:numId="9">
    <w:abstractNumId w:val="6"/>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9"/>
  </w:num>
  <w:num w:numId="16">
    <w:abstractNumId w:val="24"/>
  </w:num>
  <w:num w:numId="17">
    <w:abstractNumId w:val="4"/>
  </w:num>
  <w:num w:numId="18">
    <w:abstractNumId w:val="25"/>
  </w:num>
  <w:num w:numId="19">
    <w:abstractNumId w:val="23"/>
  </w:num>
  <w:num w:numId="20">
    <w:abstractNumId w:val="26"/>
  </w:num>
  <w:num w:numId="21">
    <w:abstractNumId w:val="13"/>
  </w:num>
  <w:num w:numId="22">
    <w:abstractNumId w:val="2"/>
  </w:num>
  <w:num w:numId="23">
    <w:abstractNumId w:val="30"/>
  </w:num>
  <w:num w:numId="24">
    <w:abstractNumId w:val="22"/>
  </w:num>
  <w:num w:numId="25">
    <w:abstractNumId w:val="8"/>
  </w:num>
  <w:num w:numId="26">
    <w:abstractNumId w:val="14"/>
  </w:num>
  <w:num w:numId="27">
    <w:abstractNumId w:val="12"/>
  </w:num>
  <w:num w:numId="28">
    <w:abstractNumId w:val="17"/>
  </w:num>
  <w:num w:numId="29">
    <w:abstractNumId w:val="7"/>
  </w:num>
  <w:num w:numId="30">
    <w:abstractNumId w:val="27"/>
  </w:num>
  <w:num w:numId="31">
    <w:abstractNumId w:val="1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864"/>
  <w:drawingGridHorizontalSpacing w:val="120"/>
  <w:displayHorizontalDrawingGridEvery w:val="2"/>
  <w:displayVertic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B7432F"/>
    <w:rsid w:val="00012375"/>
    <w:rsid w:val="00021E22"/>
    <w:rsid w:val="00025980"/>
    <w:rsid w:val="00036504"/>
    <w:rsid w:val="00071B5E"/>
    <w:rsid w:val="00083D14"/>
    <w:rsid w:val="000919FF"/>
    <w:rsid w:val="00093529"/>
    <w:rsid w:val="000B4A4D"/>
    <w:rsid w:val="000C3D13"/>
    <w:rsid w:val="000C5E98"/>
    <w:rsid w:val="000D62AE"/>
    <w:rsid w:val="000F5E21"/>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469B7"/>
    <w:rsid w:val="0036244B"/>
    <w:rsid w:val="003679A1"/>
    <w:rsid w:val="003749B6"/>
    <w:rsid w:val="003819C5"/>
    <w:rsid w:val="00396B66"/>
    <w:rsid w:val="003D6F04"/>
    <w:rsid w:val="003D72DC"/>
    <w:rsid w:val="003E0795"/>
    <w:rsid w:val="003E4849"/>
    <w:rsid w:val="00432B60"/>
    <w:rsid w:val="00440DBF"/>
    <w:rsid w:val="00442B5A"/>
    <w:rsid w:val="0044514C"/>
    <w:rsid w:val="00446CB5"/>
    <w:rsid w:val="00454CBC"/>
    <w:rsid w:val="00461126"/>
    <w:rsid w:val="00465E28"/>
    <w:rsid w:val="00473C58"/>
    <w:rsid w:val="0048177D"/>
    <w:rsid w:val="00483D91"/>
    <w:rsid w:val="00490853"/>
    <w:rsid w:val="004A2675"/>
    <w:rsid w:val="004B4308"/>
    <w:rsid w:val="004C5E53"/>
    <w:rsid w:val="004C71BF"/>
    <w:rsid w:val="004D171D"/>
    <w:rsid w:val="004D2F6B"/>
    <w:rsid w:val="004E07FB"/>
    <w:rsid w:val="004E2144"/>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B63"/>
    <w:rsid w:val="006D333D"/>
    <w:rsid w:val="006D4413"/>
    <w:rsid w:val="006D510E"/>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6E6A"/>
    <w:rsid w:val="00903B12"/>
    <w:rsid w:val="009127B9"/>
    <w:rsid w:val="0091300A"/>
    <w:rsid w:val="00916EC7"/>
    <w:rsid w:val="00920DBB"/>
    <w:rsid w:val="00921FB3"/>
    <w:rsid w:val="0092795E"/>
    <w:rsid w:val="00933072"/>
    <w:rsid w:val="00935FAF"/>
    <w:rsid w:val="009417A1"/>
    <w:rsid w:val="009440BA"/>
    <w:rsid w:val="0094640F"/>
    <w:rsid w:val="00965980"/>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941"/>
    <w:rsid w:val="00A728BB"/>
    <w:rsid w:val="00A76441"/>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7432F"/>
    <w:rsid w:val="00B84150"/>
    <w:rsid w:val="00B85203"/>
    <w:rsid w:val="00BD1FCB"/>
    <w:rsid w:val="00BE0263"/>
    <w:rsid w:val="00BE4EF6"/>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92948"/>
    <w:rsid w:val="00DA723C"/>
    <w:rsid w:val="00DB64DC"/>
    <w:rsid w:val="00DC5046"/>
    <w:rsid w:val="00DC68B6"/>
    <w:rsid w:val="00DD7CF1"/>
    <w:rsid w:val="00DF7D4D"/>
    <w:rsid w:val="00E02A4E"/>
    <w:rsid w:val="00E11BDA"/>
    <w:rsid w:val="00E1354B"/>
    <w:rsid w:val="00E17D72"/>
    <w:rsid w:val="00E22F85"/>
    <w:rsid w:val="00E264A8"/>
    <w:rsid w:val="00E26799"/>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05A-717E-4E93-8949-8D1041A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38</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4320</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2013-11-13T20:45:00Z</cp:lastPrinted>
  <dcterms:created xsi:type="dcterms:W3CDTF">2016-08-22T20:58:00Z</dcterms:created>
  <dcterms:modified xsi:type="dcterms:W3CDTF">2016-08-22T21:41:00Z</dcterms:modified>
</cp:coreProperties>
</file>